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D5" w:rsidRDefault="004A5870">
      <w:pPr>
        <w:pStyle w:val="Standard"/>
      </w:pPr>
      <w:bookmarkStart w:id="0" w:name="_GoBack"/>
      <w:bookmarkEnd w:id="0"/>
      <w:r>
        <w:t xml:space="preserve">                                                           </w:t>
      </w:r>
      <w:r>
        <w:rPr>
          <w:rFonts w:ascii="Tahoma" w:hAnsi="Tahoma" w:cs="Tahoma"/>
        </w:rPr>
        <w:t>Obrazac 20</w:t>
      </w:r>
    </w:p>
    <w:p w:rsidR="005F45D5" w:rsidRDefault="005F45D5">
      <w:pPr>
        <w:pStyle w:val="Standard"/>
        <w:rPr>
          <w:rFonts w:ascii="Tahoma" w:hAnsi="Tahoma" w:cs="Tahoma"/>
        </w:rPr>
      </w:pPr>
    </w:p>
    <w:p w:rsidR="005F45D5" w:rsidRDefault="004A5870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lang w:val="pl-PL"/>
        </w:rPr>
        <w:t>Nadle</w:t>
      </w:r>
      <w:r>
        <w:rPr>
          <w:rFonts w:ascii="Tahoma" w:hAnsi="Tahoma" w:cs="Tahoma"/>
          <w:b/>
        </w:rPr>
        <w:t>ž</w:t>
      </w:r>
      <w:r>
        <w:rPr>
          <w:rFonts w:ascii="Tahoma" w:hAnsi="Tahoma" w:cs="Tahoma"/>
          <w:b/>
          <w:lang w:val="pl-PL"/>
        </w:rPr>
        <w:t>an trgova</w:t>
      </w:r>
      <w:r>
        <w:rPr>
          <w:rFonts w:ascii="Tahoma" w:hAnsi="Tahoma" w:cs="Tahoma"/>
          <w:b/>
        </w:rPr>
        <w:t>č</w:t>
      </w:r>
      <w:r>
        <w:rPr>
          <w:rFonts w:ascii="Tahoma" w:hAnsi="Tahoma" w:cs="Tahoma"/>
          <w:b/>
          <w:lang w:val="pl-PL"/>
        </w:rPr>
        <w:t>ki sud</w:t>
      </w:r>
      <w:r>
        <w:rPr>
          <w:rFonts w:ascii="Tahoma" w:hAnsi="Tahoma" w:cs="Tahoma"/>
          <w:lang w:val="pl-PL"/>
        </w:rPr>
        <w:t>:</w:t>
      </w:r>
      <w:r>
        <w:rPr>
          <w:rFonts w:ascii="Tahoma" w:hAnsi="Tahoma" w:cs="Tahoma"/>
        </w:rPr>
        <w:tab/>
      </w:r>
      <w:r>
        <w:rPr>
          <w:rFonts w:ascii="Tahoma" w:hAnsi="Tahoma" w:cs="Tahoma"/>
          <w:b/>
        </w:rPr>
        <w:t>Trgovački sud u Varaždinu</w:t>
      </w:r>
    </w:p>
    <w:p w:rsidR="005F45D5" w:rsidRDefault="004A5870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lang w:val="pl-PL"/>
        </w:rPr>
        <w:t>Poslovni broj spisa</w:t>
      </w:r>
      <w:r>
        <w:rPr>
          <w:rFonts w:ascii="Tahoma" w:hAnsi="Tahoma" w:cs="Tahoma"/>
          <w:lang w:val="pl-PL"/>
        </w:rPr>
        <w:t>: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b/>
          <w:lang w:val="pl-PL"/>
        </w:rPr>
        <w:t>St-</w:t>
      </w:r>
      <w:r w:rsidR="00095F92">
        <w:rPr>
          <w:rFonts w:ascii="Tahoma" w:hAnsi="Tahoma" w:cs="Tahoma"/>
          <w:b/>
          <w:lang w:val="pl-PL"/>
        </w:rPr>
        <w:t>549/16</w:t>
      </w: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Dužnik: </w:t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>PROTEGA TEKSTIL d.o.o. u stečaju</w:t>
      </w:r>
    </w:p>
    <w:p w:rsidR="005F45D5" w:rsidRDefault="004A5870">
      <w:pPr>
        <w:pStyle w:val="Standard"/>
        <w:spacing w:after="0" w:line="288" w:lineRule="auto"/>
        <w:ind w:left="2127" w:firstLine="709"/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ab/>
        <w:t>Travnik 1, 40000 Čakovec</w:t>
      </w: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Čakovec, 09.01.2017.</w:t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>OIB: 16876703616, MBS: 070097855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5F45D5">
      <w:pPr>
        <w:pStyle w:val="Standard"/>
        <w:spacing w:after="0" w:line="288" w:lineRule="auto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spacing w:after="0" w:line="288" w:lineRule="auto"/>
        <w:ind w:left="75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I.TIJEK</w:t>
      </w:r>
      <w:proofErr w:type="spellEnd"/>
      <w:r>
        <w:rPr>
          <w:rFonts w:ascii="Tahoma" w:hAnsi="Tahoma" w:cs="Tahoma"/>
          <w:b/>
        </w:rPr>
        <w:t xml:space="preserve"> STEČAJNOG POSTUPKA U RAZDOBLJU OD 15.09. do 31.12.2016.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1. Poduzete radnje stečajnog upravitelja</w:t>
      </w:r>
    </w:p>
    <w:p w:rsidR="005F45D5" w:rsidRDefault="004A5870">
      <w:pPr>
        <w:pStyle w:val="Standard"/>
        <w:spacing w:after="0" w:line="288" w:lineRule="auto"/>
        <w:jc w:val="both"/>
      </w:pPr>
      <w:r>
        <w:rPr>
          <w:rFonts w:ascii="Tahoma" w:hAnsi="Tahoma" w:cs="Tahoma"/>
          <w:lang w:val="pl-PL"/>
        </w:rPr>
        <w:t>Rješenjem Trgovačkog suda u Varaždinu od 20.05.2016. godine otvoren je stečajni postupak nad društvom PROTEGA TEKSTIL d.o.o., Travnik 1, Čakovec, OIB: 16876703616, MBS: 070097855.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Na održanom Izvještajnom ročištu u cijelosti je prihvaćeno Izvješće stečajnog upravitelja o gospodarskom položaju stečajnog dužnika i stanju imovine i obveza.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Na istom ročištu odobren je najam opreme i vozila do 31.08.2016. i dana je suglasnost da stečajni upravitelj nakon izvršene procjene pristupi prodaji pokretnina a nakon prve javne dražbe i neposrednoj pogodbi radi unovčenja. To iz razloga što se stečajni dužnik nalazio u najmu objekta u Prelogu vl.  VABA d.d. koji je trebalo isprazniti do 01.09.2016.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Prije otvaranja stečajnog postupka dužnik je zapošljavao 35 zaposlenika. Nakon dostave odluka o otkazu ugovora o radu veći dio zaposlenika odrekao se otkaznog roka od 30 dana a preostalim zaposlenicima isplaćena je plaća za otkazni rok u iznosu od 47.902,35 kn (neto plaća  33.596,88 kn i porezi i doprinosi iz i na plaću 14.305,47 kn).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U promatranom periodu izvršena je procjena imovine stečajnog dužnika po ovlaštenom sudskom vještaku Slobodanu Ivekoviću na osnovu koje je vrijednost pokretne imovine stečajnog dužnika utvrđena u iznosu 246.706,88 kn (knjig. vrijednost iznosila je 61.163,45 kn - to je iznos za koji je kupljena od MTČ tvornice dječje trikotaže d.d. u stečaju).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numPr>
          <w:ilvl w:val="0"/>
          <w:numId w:val="32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U daljnjem tijeku stečajnog postupka otkazan je najam vozila i opreme jer se pristupilo unovčenju imovine. Nakon održanih javnih dražbi (2) i neposrednom pogodbom izvršena je prodaja svih pokretnina stečajnog dužnika osim kombi vozila VW Transporter 2,4 D. na kojem MF Porezna uprava Čakovec ima upisanu zabranu otuđenja iako je na </w:t>
      </w:r>
      <w:r>
        <w:rPr>
          <w:rFonts w:ascii="Tahoma" w:hAnsi="Tahoma" w:cs="Tahoma"/>
          <w:lang w:val="pl-PL"/>
        </w:rPr>
        <w:lastRenderedPageBreak/>
        <w:t>ispitnom ročištu utvrđeno da MF nema razlučno pravo i da je ta zabilježba neosnovana.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Odlomakpopisa"/>
        <w:numPr>
          <w:ilvl w:val="0"/>
          <w:numId w:val="33"/>
        </w:numPr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Svim dužnikovim dužnicima upućene su opomene na iznos od 317.194,52 kn i INO kupcu u iznosu od 55.508,01 kn, najveći dio odnosi se na:</w:t>
      </w:r>
    </w:p>
    <w:p w:rsidR="005F45D5" w:rsidRDefault="004A5870">
      <w:pPr>
        <w:pStyle w:val="Odlomakpopisa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na naslijeđenu parnicu zbog naplate potraživanja od Šivanol d.o.o. iz Zagreba radi 111.186,83 kn, postupak vodi odvjetnica Zdenka Jukić iz Čakovca koja je je postupak vodila već prije otvaranja stečaja.</w:t>
      </w: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potraživanje prema inozemnom kupcu MPC jpg iz Italije (Trst) u iznosu 55.508,01 kn koji osporava potraživanje pa je radi naplate angažiran odvjetnik Dean Krebel iz Trsta.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Po upućenim opomenama naplaćen je iznos od 134.055,09 kn, dok se ostatak potraživanja odnosi na zastarjele tražbine ili dužnici više nisu aktivni.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Vezano na mogućnost naplate navedene u alineji 4. treba biti na oprezu jer se radi o ino kupcu odnosno domaćem kupcu dvojbene likvidnosti. Za sada na angažmanu odvjetnika nisu utrošena još nikakva sredstva.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hAnsi="Tahoma" w:cs="Tahoma"/>
        </w:rPr>
      </w:pPr>
      <w:r>
        <w:rPr>
          <w:rFonts w:ascii="Tahoma" w:eastAsia="Times New Roman" w:hAnsi="Tahoma" w:cs="Tahoma"/>
          <w:b/>
          <w:i/>
          <w:kern w:val="0"/>
          <w:lang w:eastAsia="hr-HR" w:bidi="ar-SA"/>
        </w:rPr>
        <w:t>2. Obveze  stečajnog dužnika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Obveze stečajnog dužnika utvrđene su temeljem prijavljenih i ispitanih tražbina I i II VIR-a u iznosu od 1.328.263,92 kn. Tražbine su razvrstane u redove :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- I.  viši isplatni red u iznosu od 802.077,00 kn</w:t>
      </w: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- II. viši isplatni red u iznosu od 506.186,92 kn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b/>
          <w:i/>
          <w:kern w:val="0"/>
          <w:lang w:eastAsia="hr-HR" w:bidi="ar-SA"/>
        </w:rPr>
        <w:t>3. Namirenje vjerovnika I. višeg isplatnog reda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ind w:left="142" w:hanging="142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Od uplaćenih sredstava Agencije za osiguranje radničkih potraživanja u iznosu od</w:t>
      </w:r>
    </w:p>
    <w:p w:rsidR="005F45D5" w:rsidRDefault="004A5870">
      <w:pPr>
        <w:widowControl/>
        <w:suppressAutoHyphens w:val="0"/>
        <w:spacing w:after="0" w:line="288" w:lineRule="auto"/>
        <w:ind w:left="142" w:hanging="142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401.257,70 kn namireni su vjerovnici I VIR-a (radnici) i to:</w:t>
      </w:r>
    </w:p>
    <w:p w:rsidR="005F45D5" w:rsidRDefault="005F45D5">
      <w:pPr>
        <w:widowControl/>
        <w:suppressAutoHyphens w:val="0"/>
        <w:spacing w:after="0" w:line="288" w:lineRule="auto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5F45D5" w:rsidRDefault="004A5870">
      <w:pPr>
        <w:widowControl/>
        <w:numPr>
          <w:ilvl w:val="0"/>
          <w:numId w:val="34"/>
        </w:numPr>
        <w:suppressAutoHyphens w:val="0"/>
        <w:spacing w:after="0" w:line="288" w:lineRule="auto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Otpremnine u iznosu od 65.000,00 kn</w:t>
      </w:r>
    </w:p>
    <w:p w:rsidR="005F45D5" w:rsidRDefault="004A5870">
      <w:pPr>
        <w:widowControl/>
        <w:numPr>
          <w:ilvl w:val="0"/>
          <w:numId w:val="34"/>
        </w:numPr>
        <w:suppressAutoHyphens w:val="0"/>
        <w:spacing w:after="0" w:line="288" w:lineRule="auto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Neisplaćene plaće u iznosu od 229.531,14 kn</w:t>
      </w:r>
    </w:p>
    <w:p w:rsidR="005F45D5" w:rsidRDefault="004A5870">
      <w:pPr>
        <w:widowControl/>
        <w:numPr>
          <w:ilvl w:val="0"/>
          <w:numId w:val="34"/>
        </w:numPr>
        <w:suppressAutoHyphens w:val="0"/>
        <w:spacing w:after="0" w:line="288" w:lineRule="auto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Porezi i doprinosi iz i na plaće u iznosu od 106.726,56  kn</w:t>
      </w:r>
    </w:p>
    <w:p w:rsidR="005F45D5" w:rsidRDefault="005F45D5">
      <w:pPr>
        <w:widowControl/>
        <w:suppressAutoHyphens w:val="0"/>
        <w:spacing w:after="0" w:line="288" w:lineRule="auto"/>
        <w:ind w:firstLine="60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b/>
          <w:i/>
          <w:kern w:val="0"/>
          <w:lang w:eastAsia="hr-HR" w:bidi="ar-SA"/>
        </w:rPr>
        <w:t>4. Imovina stečajnog dužnika na dan izvješća 31.12.2016.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i/>
          <w:kern w:val="0"/>
          <w:lang w:eastAsia="hr-HR" w:bidi="ar-SA"/>
        </w:rPr>
      </w:pPr>
    </w:p>
    <w:p w:rsidR="005F45D5" w:rsidRDefault="004A5870">
      <w:pPr>
        <w:pStyle w:val="Standard"/>
        <w:spacing w:after="0" w:line="288" w:lineRule="auto"/>
        <w:jc w:val="both"/>
      </w:pPr>
      <w:r>
        <w:rPr>
          <w:rFonts w:ascii="Tahoma" w:hAnsi="Tahoma" w:cs="Tahoma"/>
          <w:lang w:val="pl-PL"/>
        </w:rPr>
        <w:t>U dosadašnjem tijeku stečajnog postupka unovčena je imovina stečajnog dužnika u vrijednosti od 289.239,20 kn kako slijedi: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b/>
          <w:u w:val="single"/>
          <w:lang w:val="pl-PL"/>
        </w:rPr>
      </w:pPr>
    </w:p>
    <w:p w:rsidR="005F45D5" w:rsidRDefault="004A5870">
      <w:pPr>
        <w:pStyle w:val="Standard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unovčenje po javnim dražbama (2 javne dražbe) i neposrednom pogodbom  u iznosu 150.195,40 kn (bez PDV-a)</w:t>
      </w:r>
      <w:r>
        <w:rPr>
          <w:rFonts w:ascii="Tahoma" w:hAnsi="Tahoma" w:cs="Tahoma"/>
          <w:lang w:val="pl-PL"/>
        </w:rPr>
        <w:tab/>
      </w:r>
    </w:p>
    <w:p w:rsidR="005F45D5" w:rsidRDefault="004A5870">
      <w:pPr>
        <w:pStyle w:val="Standard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lastRenderedPageBreak/>
        <w:t>ostvareni prihodi od najma opreme i vozila u iznosu od 4.988,71 kn (bez PDV-a)</w:t>
      </w:r>
      <w:r>
        <w:rPr>
          <w:rFonts w:ascii="Tahoma" w:hAnsi="Tahoma" w:cs="Tahoma"/>
          <w:lang w:val="pl-PL"/>
        </w:rPr>
        <w:tab/>
      </w:r>
    </w:p>
    <w:p w:rsidR="005F45D5" w:rsidRDefault="004A5870">
      <w:pPr>
        <w:pStyle w:val="Standard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po opomenama naplaćena su potraživanja od kupaca prije stečaja u iznosu u od 134.055,09 kn, najvećim dijelom naplaćeno od Calzedonia d.d. u iznosu od 95.119,13 kn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Na dan izrade izvješća knjigovodstveno je evidentirana imovina u iznosu od 178.518,85 kn: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kombi vozilo vrijednosti 1.489,38 kn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novac na računu stečajnog dužnika u iznosu od 177.029,47 kn.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b/>
          <w:i/>
          <w:lang w:val="pl-PL"/>
        </w:rPr>
      </w:pPr>
      <w:r>
        <w:rPr>
          <w:rFonts w:ascii="Tahoma" w:hAnsi="Tahoma" w:cs="Tahoma"/>
          <w:b/>
          <w:i/>
          <w:lang w:val="pl-PL"/>
        </w:rPr>
        <w:t>Priljevi i odljevi na računu stečajnog dužnika u razdoblju od 20.05.-31.12.2016.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b/>
          <w:u w:val="single"/>
          <w:lang w:val="pl-PL"/>
        </w:rPr>
      </w:pPr>
    </w:p>
    <w:p w:rsidR="005F45D5" w:rsidRDefault="004A5870">
      <w:pPr>
        <w:widowControl/>
        <w:suppressAutoHyphens w:val="0"/>
        <w:spacing w:after="0" w:line="288" w:lineRule="auto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U razdoblju od dana 20.05.2016. do 31.12.2016. godine ostvareni su priljevi novčanih sredstva na račun stečajnog dužnika u iznosu od 729.440,99 kn i odljevi novčanih sredstva s računa u iznosu od 552.411,52 kn.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U nastavku daje se struktura ostvarenih priljeva i odljeva u Tabeli 1. i. 2.</w:t>
      </w:r>
    </w:p>
    <w:p w:rsidR="005F45D5" w:rsidRDefault="005F45D5">
      <w:pPr>
        <w:widowControl/>
        <w:suppressAutoHyphens w:val="0"/>
        <w:spacing w:after="0" w:line="288" w:lineRule="auto"/>
        <w:ind w:left="709" w:hanging="709"/>
        <w:jc w:val="both"/>
        <w:textAlignment w:val="auto"/>
        <w:rPr>
          <w:rFonts w:ascii="Century Gothic" w:eastAsia="Times New Roman" w:hAnsi="Century Gothic" w:cs="Times New Roman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i/>
          <w:kern w:val="0"/>
          <w:lang w:eastAsia="hr-HR" w:bidi="ar-SA"/>
        </w:rPr>
      </w:pPr>
      <w:r>
        <w:rPr>
          <w:rFonts w:ascii="Tahoma" w:eastAsia="Times New Roman" w:hAnsi="Tahoma" w:cs="Tahoma"/>
          <w:i/>
          <w:kern w:val="0"/>
          <w:lang w:eastAsia="hr-HR" w:bidi="ar-SA"/>
        </w:rPr>
        <w:t>Tabela 1.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Century Gothic" w:eastAsia="Times New Roman" w:hAnsi="Century Gothic" w:cs="Times New Roman"/>
          <w:i/>
          <w:kern w:val="0"/>
          <w:lang w:eastAsia="hr-HR" w:bidi="ar-SA"/>
        </w:rPr>
      </w:pPr>
    </w:p>
    <w:tbl>
      <w:tblPr>
        <w:tblW w:w="83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5"/>
        <w:gridCol w:w="2136"/>
      </w:tblGrid>
      <w:tr w:rsidR="005F45D5">
        <w:trPr>
          <w:jc w:val="center"/>
        </w:trPr>
        <w:tc>
          <w:tcPr>
            <w:tcW w:w="6205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caps/>
                <w:kern w:val="0"/>
                <w:sz w:val="22"/>
                <w:szCs w:val="22"/>
                <w:lang w:eastAsia="hr-HR" w:bidi="ar-SA"/>
              </w:rPr>
              <w:t>UKUPNI PRILJEVI</w:t>
            </w:r>
          </w:p>
        </w:tc>
        <w:tc>
          <w:tcPr>
            <w:tcW w:w="213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caps/>
                <w:kern w:val="0"/>
                <w:sz w:val="22"/>
                <w:szCs w:val="22"/>
                <w:lang w:eastAsia="hr-HR" w:bidi="ar-SA"/>
              </w:rPr>
              <w:t>IZNOS</w:t>
            </w:r>
          </w:p>
        </w:tc>
      </w:tr>
      <w:tr w:rsidR="005F45D5">
        <w:trPr>
          <w:jc w:val="center"/>
        </w:trPr>
        <w:tc>
          <w:tcPr>
            <w:tcW w:w="620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Priljevi od potraživanja  kupaca prije stečaja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134.055,09</w:t>
            </w:r>
          </w:p>
        </w:tc>
      </w:tr>
      <w:tr w:rsidR="005F45D5">
        <w:trPr>
          <w:jc w:val="center"/>
        </w:trPr>
        <w:tc>
          <w:tcPr>
            <w:tcW w:w="620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Priljev od unovčenja imovine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150.195,40</w:t>
            </w:r>
          </w:p>
        </w:tc>
      </w:tr>
      <w:tr w:rsidR="005F45D5">
        <w:trPr>
          <w:jc w:val="center"/>
        </w:trPr>
        <w:tc>
          <w:tcPr>
            <w:tcW w:w="620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Priljevi od potraživanja kupca u stečaju-zakupi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4.988,71</w:t>
            </w:r>
          </w:p>
        </w:tc>
      </w:tr>
      <w:tr w:rsidR="005F45D5">
        <w:trPr>
          <w:jc w:val="center"/>
        </w:trPr>
        <w:tc>
          <w:tcPr>
            <w:tcW w:w="620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Priljevi od kamata banke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148,07</w:t>
            </w:r>
          </w:p>
        </w:tc>
      </w:tr>
      <w:tr w:rsidR="005F45D5">
        <w:trPr>
          <w:jc w:val="center"/>
        </w:trPr>
        <w:tc>
          <w:tcPr>
            <w:tcW w:w="620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Iskazani PDV na imovinu i usluge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38.796,02</w:t>
            </w:r>
          </w:p>
        </w:tc>
      </w:tr>
      <w:tr w:rsidR="005F45D5">
        <w:trPr>
          <w:jc w:val="center"/>
        </w:trPr>
        <w:tc>
          <w:tcPr>
            <w:tcW w:w="620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Uplata od Agencije za radnička potraživanja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401.257,70</w:t>
            </w:r>
          </w:p>
        </w:tc>
      </w:tr>
      <w:tr w:rsidR="005F45D5">
        <w:trPr>
          <w:jc w:val="center"/>
        </w:trPr>
        <w:tc>
          <w:tcPr>
            <w:tcW w:w="6205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UKUPNO PRILJEVI NA RAČUN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729.440,9</w:t>
            </w:r>
          </w:p>
        </w:tc>
      </w:tr>
    </w:tbl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Century Gothic" w:eastAsia="Times New Roman" w:hAnsi="Century Gothic" w:cs="Times New Roman"/>
          <w:kern w:val="0"/>
          <w:lang w:eastAsia="hr-HR" w:bidi="ar-SA"/>
        </w:rPr>
      </w:pP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Century Gothic" w:eastAsia="Times New Roman" w:hAnsi="Century Gothic" w:cs="Times New Roman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i/>
          <w:kern w:val="0"/>
          <w:lang w:eastAsia="hr-HR" w:bidi="ar-SA"/>
        </w:rPr>
      </w:pPr>
      <w:r>
        <w:rPr>
          <w:rFonts w:ascii="Tahoma" w:eastAsia="Times New Roman" w:hAnsi="Tahoma" w:cs="Tahoma"/>
          <w:i/>
          <w:kern w:val="0"/>
          <w:lang w:eastAsia="hr-HR" w:bidi="ar-SA"/>
        </w:rPr>
        <w:t>Tabela 2.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Century Gothic" w:eastAsia="Times New Roman" w:hAnsi="Century Gothic" w:cs="Times New Roman"/>
          <w:b/>
          <w:kern w:val="0"/>
          <w:lang w:eastAsia="hr-HR" w:bidi="ar-SA"/>
        </w:rPr>
      </w:pPr>
    </w:p>
    <w:tbl>
      <w:tblPr>
        <w:tblW w:w="876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7"/>
        <w:gridCol w:w="2289"/>
      </w:tblGrid>
      <w:tr w:rsidR="005F45D5">
        <w:trPr>
          <w:jc w:val="center"/>
        </w:trPr>
        <w:tc>
          <w:tcPr>
            <w:tcW w:w="647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UKUPNI ODLJEVI</w:t>
            </w:r>
          </w:p>
        </w:tc>
        <w:tc>
          <w:tcPr>
            <w:tcW w:w="228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IZNOS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ind w:right="-238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Plaće radnika u otkaznom roku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47.902,35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Troškovi električne energije, izrada štambilja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362,60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Troškovi zakup prostora VABA d.d.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20.000,00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Troškovi izračuna i izrade potvrde radničkih potraživanja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8.800,00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Troškovi izrade elaborata i procijene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6.000,00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Knjigovodstvene usluge, informatičke usluge, uredski i potrošni materijal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18.900,00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Putni troškovi stečajnog upravitelja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3.500,00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lastRenderedPageBreak/>
              <w:t>Porez i prirez na putne troškove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1.327,59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 xml:space="preserve">Troškovi objave oglasa  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3.484,80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Bankovne usluge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1.385,07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Iskazani PDV za robu i usluge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14.386,84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Plaćanje PDV-a u stečaju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25.104,57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1.UKUPNO ODLJEVI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151.153,82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Namirenje vjerovnika I višeg isplatnog reda/Agencija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2"/>
                <w:szCs w:val="22"/>
                <w:lang w:eastAsia="hr-HR" w:bidi="ar-SA"/>
              </w:rPr>
              <w:t>401.257,70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2. Odljev / namirenje vjerovnika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401.257,70</w:t>
            </w:r>
          </w:p>
        </w:tc>
      </w:tr>
      <w:tr w:rsidR="005F45D5">
        <w:trPr>
          <w:jc w:val="center"/>
        </w:trPr>
        <w:tc>
          <w:tcPr>
            <w:tcW w:w="647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UKUPNO ODLJEVI  SA RAČUNA ( r.br. 1+2 )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hr-HR" w:bidi="ar-SA"/>
              </w:rPr>
              <w:t>552.411,52</w:t>
            </w:r>
          </w:p>
        </w:tc>
      </w:tr>
    </w:tbl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Century Gothic" w:eastAsia="Times New Roman" w:hAnsi="Century Gothic" w:cs="Times New Roman"/>
          <w:kern w:val="0"/>
          <w:sz w:val="22"/>
          <w:szCs w:val="22"/>
          <w:lang w:eastAsia="hr-HR" w:bidi="ar-SA"/>
        </w:rPr>
      </w:pP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Century Gothic" w:eastAsia="Times New Roman" w:hAnsi="Century Gothic" w:cs="Times New Roman"/>
          <w:kern w:val="0"/>
          <w:lang w:eastAsia="hr-HR" w:bidi="ar-SA"/>
        </w:rPr>
      </w:pPr>
    </w:p>
    <w:p w:rsidR="005F45D5" w:rsidRDefault="004A5870">
      <w:pPr>
        <w:widowControl/>
        <w:suppressAutoHyphens w:val="0"/>
        <w:spacing w:after="0" w:line="240" w:lineRule="auto"/>
        <w:textAlignment w:val="auto"/>
        <w:rPr>
          <w:rFonts w:ascii="Tahoma" w:eastAsia="Times New Roman" w:hAnsi="Tahoma" w:cs="Tahoma"/>
          <w:kern w:val="0"/>
          <w:lang w:eastAsia="hr-HR" w:bidi="ar-SA"/>
        </w:rPr>
      </w:pPr>
      <w:r>
        <w:rPr>
          <w:rFonts w:ascii="Tahoma" w:eastAsia="Times New Roman" w:hAnsi="Tahoma" w:cs="Tahoma"/>
          <w:kern w:val="0"/>
          <w:lang w:eastAsia="hr-HR" w:bidi="ar-SA"/>
        </w:rPr>
        <w:t>Stečajni dužnik na dan 31.12.2015. godine  raspolaže novčanim sredstvima u iznosu od  177.029,47 kn (729.440,99-552.411,52).</w:t>
      </w:r>
    </w:p>
    <w:p w:rsidR="005F45D5" w:rsidRDefault="005F45D5">
      <w:pPr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5F45D5" w:rsidRDefault="004A5870">
      <w:pPr>
        <w:spacing w:after="0" w:line="288" w:lineRule="auto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bCs/>
          <w:u w:val="single"/>
        </w:rPr>
        <w:t>III Prijedlozi stečajnog upravitelja</w:t>
      </w:r>
    </w:p>
    <w:p w:rsidR="005F45D5" w:rsidRDefault="005F45D5">
      <w:pPr>
        <w:spacing w:after="0" w:line="288" w:lineRule="auto"/>
        <w:ind w:left="360"/>
        <w:jc w:val="both"/>
        <w:rPr>
          <w:rFonts w:ascii="Tahoma" w:hAnsi="Tahoma" w:cs="Tahoma"/>
        </w:rPr>
      </w:pPr>
    </w:p>
    <w:p w:rsidR="005F45D5" w:rsidRDefault="004A5870">
      <w:pPr>
        <w:spacing w:after="0" w:line="288" w:lineRule="auto"/>
        <w:jc w:val="both"/>
      </w:pPr>
      <w:r>
        <w:rPr>
          <w:rFonts w:ascii="Tahoma" w:hAnsi="Tahoma" w:cs="Tahoma"/>
        </w:rPr>
        <w:t>- Budući da će n</w:t>
      </w:r>
      <w:r>
        <w:rPr>
          <w:rFonts w:ascii="Tahoma" w:hAnsi="Tahoma" w:cs="Tahoma"/>
          <w:lang w:val="pl-PL"/>
        </w:rPr>
        <w:t xml:space="preserve">akon prodaje kombi vozila biti formirana stečajna masa </w:t>
      </w:r>
      <w:r>
        <w:rPr>
          <w:rFonts w:ascii="Tahoma" w:hAnsi="Tahoma" w:cs="Tahoma"/>
          <w:b/>
          <w:bCs/>
          <w:lang w:val="pl-PL"/>
        </w:rPr>
        <w:t>(prije toga MF PU</w:t>
      </w:r>
      <w:r>
        <w:rPr>
          <w:rFonts w:ascii="Tahoma" w:hAnsi="Tahoma" w:cs="Tahoma"/>
          <w:lang w:val="pl-PL"/>
        </w:rPr>
        <w:t xml:space="preserve"> </w:t>
      </w:r>
      <w:r>
        <w:rPr>
          <w:rFonts w:ascii="Tahoma" w:hAnsi="Tahoma" w:cs="Tahoma"/>
          <w:b/>
          <w:bCs/>
          <w:lang w:val="pl-PL"/>
        </w:rPr>
        <w:t>Čakovec treba brisati zabranu otuđenja)</w:t>
      </w:r>
      <w:r>
        <w:rPr>
          <w:rFonts w:ascii="Tahoma" w:hAnsi="Tahoma" w:cs="Tahoma"/>
          <w:lang w:val="pl-PL"/>
        </w:rPr>
        <w:t xml:space="preserve"> izraditi će se prijedlog diobe za I VIR i troškove stečajnog postupka.</w:t>
      </w:r>
    </w:p>
    <w:p w:rsidR="005F45D5" w:rsidRDefault="005F45D5">
      <w:pPr>
        <w:spacing w:after="0" w:line="288" w:lineRule="auto"/>
        <w:jc w:val="both"/>
      </w:pPr>
    </w:p>
    <w:p w:rsidR="005F45D5" w:rsidRDefault="004A5870">
      <w:pPr>
        <w:spacing w:after="0" w:line="288" w:lineRule="auto"/>
        <w:jc w:val="both"/>
      </w:pPr>
      <w:r>
        <w:rPr>
          <w:rFonts w:ascii="Tahoma" w:hAnsi="Tahoma" w:cs="Tahoma"/>
          <w:lang w:val="pl-PL"/>
        </w:rPr>
        <w:t>- Glede spornih potraživanja iz alineje 4. predlaže se da vjerovnici donesu odluku o nastavku postupaka time da se te tražbine mogu radi smanjenja troškova realizirati i u formi stečajne masę</w:t>
      </w:r>
    </w:p>
    <w:p w:rsidR="005F45D5" w:rsidRDefault="005F45D5">
      <w:pPr>
        <w:spacing w:after="0" w:line="288" w:lineRule="auto"/>
        <w:jc w:val="both"/>
      </w:pPr>
    </w:p>
    <w:p w:rsidR="005F45D5" w:rsidRDefault="004A5870">
      <w:pPr>
        <w:spacing w:after="0" w:line="288" w:lineRule="auto"/>
        <w:jc w:val="both"/>
      </w:pPr>
      <w:r>
        <w:rPr>
          <w:rFonts w:ascii="Tahoma" w:hAnsi="Tahoma" w:cs="Tahoma"/>
          <w:lang w:val="pl-PL"/>
        </w:rPr>
        <w:t>- Predlaže se prihvat ovog Izvješća i Financijskog plana (u prilogu) za kvartal 1/2017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u w:val="single"/>
        </w:rPr>
      </w:pP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Varaždin, 09.01.2017.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Stečajni upravitelj Zvonko </w:t>
      </w:r>
      <w:proofErr w:type="spellStart"/>
      <w:r>
        <w:rPr>
          <w:rFonts w:ascii="Tahoma" w:hAnsi="Tahoma" w:cs="Tahoma"/>
        </w:rPr>
        <w:t>Hrain</w:t>
      </w:r>
      <w:proofErr w:type="spellEnd"/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5F45D5" w:rsidRDefault="004A5870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 xml:space="preserve"> </w:t>
      </w:r>
    </w:p>
    <w:p w:rsidR="005F45D5" w:rsidRDefault="005F45D5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5F45D5" w:rsidRDefault="005F45D5">
      <w:pPr>
        <w:pStyle w:val="Odlomakpopisa"/>
        <w:spacing w:after="0" w:line="288" w:lineRule="auto"/>
        <w:ind w:left="0"/>
        <w:jc w:val="both"/>
        <w:rPr>
          <w:rFonts w:ascii="Tahoma" w:hAnsi="Tahoma" w:cs="Tahoma"/>
        </w:rPr>
      </w:pPr>
    </w:p>
    <w:p w:rsidR="005F45D5" w:rsidRDefault="005F45D5">
      <w:pPr>
        <w:pStyle w:val="Odlomakpopisa"/>
        <w:spacing w:after="0" w:line="288" w:lineRule="auto"/>
        <w:ind w:left="0"/>
        <w:jc w:val="both"/>
        <w:rPr>
          <w:rFonts w:ascii="Tahoma" w:hAnsi="Tahoma" w:cs="Tahoma"/>
        </w:rPr>
      </w:pPr>
    </w:p>
    <w:p w:rsidR="005F45D5" w:rsidRDefault="005F45D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5F45D5" w:rsidRDefault="005F45D5">
      <w:pPr>
        <w:pStyle w:val="Standard"/>
        <w:spacing w:line="288" w:lineRule="auto"/>
        <w:rPr>
          <w:rFonts w:ascii="Tahoma" w:hAnsi="Tahoma" w:cs="Tahoma"/>
          <w:b/>
          <w:sz w:val="28"/>
          <w:szCs w:val="28"/>
        </w:rPr>
      </w:pPr>
    </w:p>
    <w:p w:rsidR="005F45D5" w:rsidRDefault="005F45D5">
      <w:pPr>
        <w:pStyle w:val="Standard"/>
        <w:spacing w:line="288" w:lineRule="auto"/>
        <w:rPr>
          <w:rFonts w:ascii="Tahoma" w:hAnsi="Tahoma" w:cs="Tahoma"/>
          <w:b/>
          <w:sz w:val="28"/>
          <w:szCs w:val="28"/>
        </w:rPr>
      </w:pPr>
    </w:p>
    <w:p w:rsidR="005F45D5" w:rsidRDefault="005F45D5">
      <w:pPr>
        <w:pStyle w:val="Standard"/>
        <w:spacing w:line="288" w:lineRule="auto"/>
        <w:rPr>
          <w:rFonts w:ascii="Tahoma" w:hAnsi="Tahoma" w:cs="Tahoma"/>
          <w:b/>
          <w:sz w:val="28"/>
          <w:szCs w:val="28"/>
        </w:rPr>
      </w:pPr>
    </w:p>
    <w:p w:rsidR="005F45D5" w:rsidRDefault="004A5870">
      <w:pPr>
        <w:pStyle w:val="Standard"/>
        <w:spacing w:line="288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Protega tekstil d.o.o. u stečaju</w:t>
      </w:r>
    </w:p>
    <w:p w:rsidR="005F45D5" w:rsidRDefault="004A5870">
      <w:pPr>
        <w:pStyle w:val="Standard"/>
        <w:spacing w:line="288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Travnik 1, Čakovec</w:t>
      </w:r>
    </w:p>
    <w:p w:rsidR="005F45D5" w:rsidRDefault="004A5870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 xml:space="preserve">St-268/15                                                               </w:t>
      </w:r>
    </w:p>
    <w:p w:rsidR="005F45D5" w:rsidRDefault="004A5870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  <w:t xml:space="preserve">                   </w:t>
      </w:r>
      <w:r>
        <w:rPr>
          <w:rFonts w:ascii="Tahoma" w:hAnsi="Tahoma" w:cs="Tahoma"/>
          <w:b/>
        </w:rPr>
        <w:t xml:space="preserve">TRGOVAČKI SUD </w:t>
      </w:r>
      <w:r>
        <w:rPr>
          <w:rFonts w:ascii="Tahoma" w:hAnsi="Tahoma" w:cs="Tahoma"/>
          <w:b/>
        </w:rPr>
        <w:tab/>
      </w:r>
    </w:p>
    <w:p w:rsidR="005F45D5" w:rsidRDefault="004A5870">
      <w:pPr>
        <w:pStyle w:val="Standard"/>
        <w:spacing w:after="0" w:line="288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VARAŽDINU</w:t>
      </w:r>
    </w:p>
    <w:p w:rsidR="005F45D5" w:rsidRDefault="004A5870">
      <w:pPr>
        <w:pStyle w:val="Standard"/>
        <w:spacing w:after="0"/>
        <w:ind w:hanging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</w:p>
    <w:p w:rsidR="005F45D5" w:rsidRDefault="004A5870">
      <w:pPr>
        <w:pStyle w:val="Standard"/>
        <w:spacing w:after="0"/>
        <w:ind w:hanging="426"/>
        <w:jc w:val="both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  </w:t>
      </w:r>
    </w:p>
    <w:p w:rsidR="005F45D5" w:rsidRDefault="004A5870">
      <w:pPr>
        <w:pStyle w:val="Standard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PREGLED FINANCIJSKOG PLANA ZA PERIOD</w:t>
      </w:r>
    </w:p>
    <w:p w:rsidR="005F45D5" w:rsidRDefault="004A5870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(01.01.- 31.03.2017. godine )</w:t>
      </w:r>
    </w:p>
    <w:p w:rsidR="005F45D5" w:rsidRDefault="005F45D5">
      <w:pPr>
        <w:pStyle w:val="Standard"/>
        <w:jc w:val="center"/>
        <w:rPr>
          <w:rFonts w:ascii="Tahoma" w:hAnsi="Tahoma" w:cs="Tahoma"/>
          <w:sz w:val="28"/>
          <w:szCs w:val="28"/>
        </w:rPr>
      </w:pPr>
    </w:p>
    <w:tbl>
      <w:tblPr>
        <w:tblW w:w="1019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70"/>
        <w:gridCol w:w="2024"/>
        <w:gridCol w:w="2202"/>
      </w:tblGrid>
      <w:tr w:rsidR="005F45D5">
        <w:trPr>
          <w:trHeight w:val="683"/>
          <w:jc w:val="center"/>
        </w:trPr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6" w:space="0" w:color="000001"/>
              <w:right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Planirani troškovi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Mjesečni trošak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center"/>
            </w:pPr>
            <w:r>
              <w:rPr>
                <w:rFonts w:ascii="Tahoma" w:hAnsi="Tahoma" w:cs="Tahoma"/>
                <w:bCs/>
              </w:rPr>
              <w:t xml:space="preserve">Razdoblje                 </w:t>
            </w:r>
            <w:r>
              <w:rPr>
                <w:rFonts w:ascii="Tahoma" w:hAnsi="Tahoma" w:cs="Tahoma"/>
                <w:bCs/>
                <w:caps/>
              </w:rPr>
              <w:t>01.01-31.03.2017.</w:t>
            </w:r>
          </w:p>
        </w:tc>
      </w:tr>
      <w:tr w:rsidR="005F45D5">
        <w:trPr>
          <w:trHeight w:val="675"/>
          <w:jc w:val="center"/>
        </w:trPr>
        <w:tc>
          <w:tcPr>
            <w:tcW w:w="5970" w:type="dxa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Putni i materijalni troškovi (poštarina, telefon, uredski materijal)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1.500,00</w:t>
            </w:r>
          </w:p>
        </w:tc>
      </w:tr>
      <w:tr w:rsidR="005F45D5"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Knjigovodstvene usluge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6.000,00</w:t>
            </w:r>
          </w:p>
        </w:tc>
      </w:tr>
      <w:tr w:rsidR="005F45D5">
        <w:trPr>
          <w:jc w:val="center"/>
        </w:trPr>
        <w:tc>
          <w:tcPr>
            <w:tcW w:w="5970" w:type="dxa"/>
            <w:tcBorders>
              <w:top w:val="single" w:sz="6" w:space="0" w:color="000001"/>
              <w:left w:val="single" w:sz="4" w:space="0" w:color="000000"/>
              <w:bottom w:val="single" w:sz="4" w:space="0" w:color="000000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UKUPNO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3.000,00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5D5" w:rsidRDefault="004A5870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9.000,00</w:t>
            </w:r>
          </w:p>
        </w:tc>
      </w:tr>
    </w:tbl>
    <w:p w:rsidR="005F45D5" w:rsidRDefault="005F45D5">
      <w:pPr>
        <w:pStyle w:val="Standard"/>
        <w:spacing w:line="288" w:lineRule="auto"/>
        <w:rPr>
          <w:rFonts w:ascii="Tahoma" w:hAnsi="Tahoma" w:cs="Tahoma"/>
          <w:b/>
          <w:i/>
        </w:rPr>
      </w:pPr>
    </w:p>
    <w:p w:rsidR="005F45D5" w:rsidRDefault="004A5870">
      <w:pPr>
        <w:pStyle w:val="Standard"/>
        <w:spacing w:line="288" w:lineRule="auto"/>
        <w:ind w:left="142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*Planirani troškovi za period od 01.01.-31.03.2017.godine iskazani su bez PDV-a</w:t>
      </w:r>
    </w:p>
    <w:p w:rsidR="005F45D5" w:rsidRDefault="005F45D5">
      <w:pPr>
        <w:pStyle w:val="Standard"/>
        <w:spacing w:line="288" w:lineRule="auto"/>
        <w:ind w:left="142"/>
        <w:rPr>
          <w:rFonts w:ascii="Tahoma" w:hAnsi="Tahoma" w:cs="Tahoma"/>
          <w:i/>
        </w:rPr>
      </w:pPr>
    </w:p>
    <w:p w:rsidR="005F45D5" w:rsidRDefault="005F45D5">
      <w:pPr>
        <w:pStyle w:val="Standard"/>
        <w:spacing w:line="288" w:lineRule="auto"/>
        <w:ind w:left="142"/>
        <w:rPr>
          <w:rFonts w:ascii="Tahoma" w:hAnsi="Tahoma" w:cs="Tahoma"/>
          <w:i/>
        </w:rPr>
      </w:pPr>
    </w:p>
    <w:p w:rsidR="005F45D5" w:rsidRDefault="005F45D5">
      <w:pPr>
        <w:pStyle w:val="Standard"/>
        <w:spacing w:line="288" w:lineRule="auto"/>
        <w:ind w:left="142"/>
        <w:rPr>
          <w:rFonts w:ascii="Tahoma" w:hAnsi="Tahoma" w:cs="Tahoma"/>
          <w:i/>
        </w:rPr>
      </w:pPr>
    </w:p>
    <w:p w:rsidR="005F45D5" w:rsidRDefault="005F45D5">
      <w:pPr>
        <w:pStyle w:val="Standard"/>
        <w:spacing w:line="288" w:lineRule="auto"/>
        <w:ind w:left="142"/>
        <w:rPr>
          <w:rFonts w:ascii="Tahoma" w:hAnsi="Tahoma" w:cs="Tahoma"/>
          <w:i/>
        </w:rPr>
      </w:pPr>
    </w:p>
    <w:p w:rsidR="005F45D5" w:rsidRDefault="004A5870">
      <w:pPr>
        <w:pStyle w:val="Standard"/>
        <w:spacing w:line="288" w:lineRule="auto"/>
        <w:ind w:left="142"/>
      </w:pPr>
      <w:r>
        <w:rPr>
          <w:rFonts w:ascii="Tahoma" w:hAnsi="Tahoma" w:cs="Tahoma"/>
          <w:i/>
        </w:rPr>
        <w:t>Varaždin, 11.01.2017.</w:t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  <w:t xml:space="preserve">Stečajni upravitelj Zvonko </w:t>
      </w:r>
      <w:proofErr w:type="spellStart"/>
      <w:r>
        <w:rPr>
          <w:rFonts w:ascii="Tahoma" w:hAnsi="Tahoma" w:cs="Tahoma"/>
          <w:i/>
        </w:rPr>
        <w:t>Hrain</w:t>
      </w:r>
      <w:proofErr w:type="spellEnd"/>
    </w:p>
    <w:sectPr w:rsidR="005F45D5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6B6" w:rsidRDefault="00EA76B6">
      <w:pPr>
        <w:spacing w:after="0" w:line="240" w:lineRule="auto"/>
      </w:pPr>
      <w:r>
        <w:separator/>
      </w:r>
    </w:p>
  </w:endnote>
  <w:endnote w:type="continuationSeparator" w:id="0">
    <w:p w:rsidR="00EA76B6" w:rsidRDefault="00EA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6B6" w:rsidRDefault="00EA76B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A76B6" w:rsidRDefault="00EA7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5106"/>
    <w:multiLevelType w:val="multilevel"/>
    <w:tmpl w:val="2DE61B4E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2EF4309"/>
    <w:multiLevelType w:val="multilevel"/>
    <w:tmpl w:val="D54AFC7E"/>
    <w:styleLink w:val="WWNum18"/>
    <w:lvl w:ilvl="0">
      <w:numFmt w:val="bullet"/>
      <w:lvlText w:val="-"/>
      <w:lvlJc w:val="left"/>
      <w:rPr>
        <w:rFonts w:ascii="Tahoma" w:hAnsi="Tahoma" w:cs="Calibri"/>
        <w:i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503009D"/>
    <w:multiLevelType w:val="multilevel"/>
    <w:tmpl w:val="8FDA1600"/>
    <w:styleLink w:val="WWNum25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749210A"/>
    <w:multiLevelType w:val="multilevel"/>
    <w:tmpl w:val="55C2563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D95422A"/>
    <w:multiLevelType w:val="multilevel"/>
    <w:tmpl w:val="05E69090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2061A92"/>
    <w:multiLevelType w:val="multilevel"/>
    <w:tmpl w:val="170A2824"/>
    <w:styleLink w:val="WWNum16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2627891"/>
    <w:multiLevelType w:val="multilevel"/>
    <w:tmpl w:val="6D4ECE84"/>
    <w:styleLink w:val="WWNum19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368231C"/>
    <w:multiLevelType w:val="multilevel"/>
    <w:tmpl w:val="2982C02E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13821F7F"/>
    <w:multiLevelType w:val="multilevel"/>
    <w:tmpl w:val="1B026E98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41D615F"/>
    <w:multiLevelType w:val="multilevel"/>
    <w:tmpl w:val="90523EB4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146E6646"/>
    <w:multiLevelType w:val="multilevel"/>
    <w:tmpl w:val="BEE6ED96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155508EC"/>
    <w:multiLevelType w:val="multilevel"/>
    <w:tmpl w:val="1206E5CE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1DEC1EAF"/>
    <w:multiLevelType w:val="multilevel"/>
    <w:tmpl w:val="C8DA01A6"/>
    <w:styleLink w:val="WWNum20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22E44D97"/>
    <w:multiLevelType w:val="multilevel"/>
    <w:tmpl w:val="C358C370"/>
    <w:styleLink w:val="WWNum7"/>
    <w:lvl w:ilvl="0">
      <w:start w:val="1"/>
      <w:numFmt w:val="upp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32B5C5B"/>
    <w:multiLevelType w:val="multilevel"/>
    <w:tmpl w:val="BBB212A4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270077A2"/>
    <w:multiLevelType w:val="multilevel"/>
    <w:tmpl w:val="B204EE28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8434709"/>
    <w:multiLevelType w:val="multilevel"/>
    <w:tmpl w:val="C05E909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28A6223A"/>
    <w:multiLevelType w:val="multilevel"/>
    <w:tmpl w:val="8A72A11C"/>
    <w:styleLink w:val="WWNum10"/>
    <w:lvl w:ilvl="0">
      <w:start w:val="1"/>
      <w:numFmt w:val="decimal"/>
      <w:lvlText w:val="%1."/>
      <w:lvlJc w:val="left"/>
      <w:rPr>
        <w:b w:val="0"/>
      </w:rPr>
    </w:lvl>
    <w:lvl w:ilvl="1">
      <w:start w:val="553"/>
      <w:numFmt w:val="decimal"/>
      <w:lvlText w:val="%1.%2"/>
      <w:lvlJc w:val="left"/>
    </w:lvl>
    <w:lvl w:ilvl="2">
      <w:start w:val="820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>
    <w:nsid w:val="2F5211A6"/>
    <w:multiLevelType w:val="multilevel"/>
    <w:tmpl w:val="9664FE9E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370B62DA"/>
    <w:multiLevelType w:val="multilevel"/>
    <w:tmpl w:val="FFC273E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3751579F"/>
    <w:multiLevelType w:val="multilevel"/>
    <w:tmpl w:val="753CF13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>
    <w:nsid w:val="3A581489"/>
    <w:multiLevelType w:val="multilevel"/>
    <w:tmpl w:val="DB86230C"/>
    <w:styleLink w:val="WWNum17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3B903CE5"/>
    <w:multiLevelType w:val="multilevel"/>
    <w:tmpl w:val="AF34030A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3FA27915"/>
    <w:multiLevelType w:val="multilevel"/>
    <w:tmpl w:val="E346995E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>
    <w:nsid w:val="421020B7"/>
    <w:multiLevelType w:val="multilevel"/>
    <w:tmpl w:val="8BA6F3C8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49383C47"/>
    <w:multiLevelType w:val="multilevel"/>
    <w:tmpl w:val="416E8F16"/>
    <w:styleLink w:val="WWNum21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4B58255C"/>
    <w:multiLevelType w:val="multilevel"/>
    <w:tmpl w:val="0D640112"/>
    <w:styleLink w:val="WWNum3"/>
    <w:lvl w:ilvl="0">
      <w:numFmt w:val="bullet"/>
      <w:lvlText w:val="•"/>
      <w:lvlJc w:val="left"/>
      <w:rPr>
        <w:rFonts w:ascii="Tahoma" w:eastAsia="Calibri" w:hAnsi="Tahoma" w:cs="Tahom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574A7066"/>
    <w:multiLevelType w:val="multilevel"/>
    <w:tmpl w:val="9434FE4A"/>
    <w:styleLink w:val="WWNum15"/>
    <w:lvl w:ilvl="0">
      <w:start w:val="1"/>
      <w:numFmt w:val="decimal"/>
      <w:lvlText w:val="%1."/>
      <w:lvlJc w:val="left"/>
      <w:rPr>
        <w:i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58671F4F"/>
    <w:multiLevelType w:val="multilevel"/>
    <w:tmpl w:val="8D240704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588B1D13"/>
    <w:multiLevelType w:val="multilevel"/>
    <w:tmpl w:val="568A4F82"/>
    <w:styleLink w:val="WWNum14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>
    <w:nsid w:val="63C5550C"/>
    <w:multiLevelType w:val="multilevel"/>
    <w:tmpl w:val="D76E2510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>
    <w:nsid w:val="6595603D"/>
    <w:multiLevelType w:val="multilevel"/>
    <w:tmpl w:val="9D26518A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706D65E4"/>
    <w:multiLevelType w:val="multilevel"/>
    <w:tmpl w:val="51CC64C0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71453F15"/>
    <w:multiLevelType w:val="multilevel"/>
    <w:tmpl w:val="72A0EDFA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>
    <w:nsid w:val="75830162"/>
    <w:multiLevelType w:val="multilevel"/>
    <w:tmpl w:val="52C4A82A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7C650AED"/>
    <w:multiLevelType w:val="multilevel"/>
    <w:tmpl w:val="98BC14B4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24"/>
  </w:num>
  <w:num w:numId="3">
    <w:abstractNumId w:val="32"/>
  </w:num>
  <w:num w:numId="4">
    <w:abstractNumId w:val="26"/>
  </w:num>
  <w:num w:numId="5">
    <w:abstractNumId w:val="15"/>
  </w:num>
  <w:num w:numId="6">
    <w:abstractNumId w:val="0"/>
  </w:num>
  <w:num w:numId="7">
    <w:abstractNumId w:val="33"/>
  </w:num>
  <w:num w:numId="8">
    <w:abstractNumId w:val="13"/>
  </w:num>
  <w:num w:numId="9">
    <w:abstractNumId w:val="8"/>
  </w:num>
  <w:num w:numId="10">
    <w:abstractNumId w:val="10"/>
  </w:num>
  <w:num w:numId="11">
    <w:abstractNumId w:val="17"/>
  </w:num>
  <w:num w:numId="12">
    <w:abstractNumId w:val="4"/>
  </w:num>
  <w:num w:numId="13">
    <w:abstractNumId w:val="22"/>
  </w:num>
  <w:num w:numId="14">
    <w:abstractNumId w:val="35"/>
  </w:num>
  <w:num w:numId="15">
    <w:abstractNumId w:val="29"/>
  </w:num>
  <w:num w:numId="16">
    <w:abstractNumId w:val="27"/>
  </w:num>
  <w:num w:numId="17">
    <w:abstractNumId w:val="5"/>
  </w:num>
  <w:num w:numId="18">
    <w:abstractNumId w:val="21"/>
  </w:num>
  <w:num w:numId="19">
    <w:abstractNumId w:val="1"/>
  </w:num>
  <w:num w:numId="20">
    <w:abstractNumId w:val="6"/>
  </w:num>
  <w:num w:numId="21">
    <w:abstractNumId w:val="12"/>
  </w:num>
  <w:num w:numId="22">
    <w:abstractNumId w:val="25"/>
  </w:num>
  <w:num w:numId="23">
    <w:abstractNumId w:val="30"/>
  </w:num>
  <w:num w:numId="24">
    <w:abstractNumId w:val="7"/>
  </w:num>
  <w:num w:numId="25">
    <w:abstractNumId w:val="9"/>
  </w:num>
  <w:num w:numId="26">
    <w:abstractNumId w:val="34"/>
  </w:num>
  <w:num w:numId="27">
    <w:abstractNumId w:val="31"/>
  </w:num>
  <w:num w:numId="28">
    <w:abstractNumId w:val="28"/>
  </w:num>
  <w:num w:numId="29">
    <w:abstractNumId w:val="23"/>
  </w:num>
  <w:num w:numId="30">
    <w:abstractNumId w:val="14"/>
  </w:num>
  <w:num w:numId="31">
    <w:abstractNumId w:val="19"/>
  </w:num>
  <w:num w:numId="32">
    <w:abstractNumId w:val="18"/>
  </w:num>
  <w:num w:numId="33">
    <w:abstractNumId w:val="3"/>
  </w:num>
  <w:num w:numId="34">
    <w:abstractNumId w:val="20"/>
  </w:num>
  <w:num w:numId="35">
    <w:abstractNumId w:val="1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F45D5"/>
    <w:rsid w:val="00095F92"/>
    <w:rsid w:val="004A5870"/>
    <w:rsid w:val="005F45D5"/>
    <w:rsid w:val="008E311B"/>
    <w:rsid w:val="00EA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Tekstbaloni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Odlomakpopisa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7">
    <w:name w:val="ListLabel 7"/>
    <w:rPr>
      <w:b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4">
    <w:name w:val="ListLabel 4"/>
    <w:rPr>
      <w:rFonts w:cs="Calibri"/>
    </w:rPr>
  </w:style>
  <w:style w:type="character" w:customStyle="1" w:styleId="ListLabel3">
    <w:name w:val="ListLabel 3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Calibri" w:cs="Tahoma"/>
    </w:rPr>
  </w:style>
  <w:style w:type="character" w:customStyle="1" w:styleId="TekstbaloniaChar">
    <w:name w:val="Tekst balončića Char"/>
    <w:basedOn w:val="Zadanifontodlomka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</w:style>
  <w:style w:type="character" w:customStyle="1" w:styleId="ZaglavljeChar">
    <w:name w:val="Zaglavlje Char"/>
    <w:basedOn w:val="Zadanifontodlomka"/>
  </w:style>
  <w:style w:type="numbering" w:customStyle="1" w:styleId="WWNum251">
    <w:name w:val="WWNum251"/>
    <w:basedOn w:val="Bezpopisa"/>
    <w:pPr>
      <w:numPr>
        <w:numId w:val="1"/>
      </w:numPr>
    </w:pPr>
  </w:style>
  <w:style w:type="numbering" w:customStyle="1" w:styleId="WWNum1">
    <w:name w:val="WWNum1"/>
    <w:basedOn w:val="Bezpopisa"/>
    <w:pPr>
      <w:numPr>
        <w:numId w:val="2"/>
      </w:numPr>
    </w:pPr>
  </w:style>
  <w:style w:type="numbering" w:customStyle="1" w:styleId="WWNum2">
    <w:name w:val="WWNum2"/>
    <w:basedOn w:val="Bezpopisa"/>
    <w:pPr>
      <w:numPr>
        <w:numId w:val="3"/>
      </w:numPr>
    </w:pPr>
  </w:style>
  <w:style w:type="numbering" w:customStyle="1" w:styleId="WWNum3">
    <w:name w:val="WWNum3"/>
    <w:basedOn w:val="Bezpopisa"/>
    <w:pPr>
      <w:numPr>
        <w:numId w:val="4"/>
      </w:numPr>
    </w:pPr>
  </w:style>
  <w:style w:type="numbering" w:customStyle="1" w:styleId="WWNum4">
    <w:name w:val="WWNum4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6">
    <w:name w:val="WWNum6"/>
    <w:basedOn w:val="Bezpopisa"/>
    <w:pPr>
      <w:numPr>
        <w:numId w:val="7"/>
      </w:numPr>
    </w:pPr>
  </w:style>
  <w:style w:type="numbering" w:customStyle="1" w:styleId="WWNum7">
    <w:name w:val="WWNum7"/>
    <w:basedOn w:val="Bezpopisa"/>
    <w:pPr>
      <w:numPr>
        <w:numId w:val="8"/>
      </w:numPr>
    </w:pPr>
  </w:style>
  <w:style w:type="numbering" w:customStyle="1" w:styleId="WWNum8">
    <w:name w:val="WWNum8"/>
    <w:basedOn w:val="Bezpopisa"/>
    <w:pPr>
      <w:numPr>
        <w:numId w:val="9"/>
      </w:numPr>
    </w:pPr>
  </w:style>
  <w:style w:type="numbering" w:customStyle="1" w:styleId="WWNum9">
    <w:name w:val="WWNum9"/>
    <w:basedOn w:val="Bezpopisa"/>
    <w:pPr>
      <w:numPr>
        <w:numId w:val="10"/>
      </w:numPr>
    </w:pPr>
  </w:style>
  <w:style w:type="numbering" w:customStyle="1" w:styleId="WWNum10">
    <w:name w:val="WWNum10"/>
    <w:basedOn w:val="Bezpopisa"/>
    <w:pPr>
      <w:numPr>
        <w:numId w:val="11"/>
      </w:numPr>
    </w:pPr>
  </w:style>
  <w:style w:type="numbering" w:customStyle="1" w:styleId="WWNum11">
    <w:name w:val="WWNum11"/>
    <w:basedOn w:val="Bezpopisa"/>
    <w:pPr>
      <w:numPr>
        <w:numId w:val="12"/>
      </w:numPr>
    </w:pPr>
  </w:style>
  <w:style w:type="numbering" w:customStyle="1" w:styleId="WWNum12">
    <w:name w:val="WWNum12"/>
    <w:basedOn w:val="Bezpopisa"/>
    <w:pPr>
      <w:numPr>
        <w:numId w:val="13"/>
      </w:numPr>
    </w:pPr>
  </w:style>
  <w:style w:type="numbering" w:customStyle="1" w:styleId="WWNum13">
    <w:name w:val="WWNum13"/>
    <w:basedOn w:val="Bezpopisa"/>
    <w:pPr>
      <w:numPr>
        <w:numId w:val="14"/>
      </w:numPr>
    </w:pPr>
  </w:style>
  <w:style w:type="numbering" w:customStyle="1" w:styleId="WWNum14">
    <w:name w:val="WWNum14"/>
    <w:basedOn w:val="Bezpopisa"/>
    <w:pPr>
      <w:numPr>
        <w:numId w:val="15"/>
      </w:numPr>
    </w:pPr>
  </w:style>
  <w:style w:type="numbering" w:customStyle="1" w:styleId="WWNum15">
    <w:name w:val="WWNum15"/>
    <w:basedOn w:val="Bezpopisa"/>
    <w:pPr>
      <w:numPr>
        <w:numId w:val="16"/>
      </w:numPr>
    </w:pPr>
  </w:style>
  <w:style w:type="numbering" w:customStyle="1" w:styleId="WWNum16">
    <w:name w:val="WWNum16"/>
    <w:basedOn w:val="Bezpopisa"/>
    <w:pPr>
      <w:numPr>
        <w:numId w:val="17"/>
      </w:numPr>
    </w:pPr>
  </w:style>
  <w:style w:type="numbering" w:customStyle="1" w:styleId="WWNum17">
    <w:name w:val="WWNum17"/>
    <w:basedOn w:val="Bezpopisa"/>
    <w:pPr>
      <w:numPr>
        <w:numId w:val="18"/>
      </w:numPr>
    </w:pPr>
  </w:style>
  <w:style w:type="numbering" w:customStyle="1" w:styleId="WWNum18">
    <w:name w:val="WWNum18"/>
    <w:basedOn w:val="Bezpopisa"/>
    <w:pPr>
      <w:numPr>
        <w:numId w:val="19"/>
      </w:numPr>
    </w:pPr>
  </w:style>
  <w:style w:type="numbering" w:customStyle="1" w:styleId="WWNum19">
    <w:name w:val="WWNum19"/>
    <w:basedOn w:val="Bezpopisa"/>
    <w:pPr>
      <w:numPr>
        <w:numId w:val="20"/>
      </w:numPr>
    </w:pPr>
  </w:style>
  <w:style w:type="numbering" w:customStyle="1" w:styleId="WWNum20">
    <w:name w:val="WWNum20"/>
    <w:basedOn w:val="Bezpopisa"/>
    <w:pPr>
      <w:numPr>
        <w:numId w:val="21"/>
      </w:numPr>
    </w:pPr>
  </w:style>
  <w:style w:type="numbering" w:customStyle="1" w:styleId="WWNum21">
    <w:name w:val="WWNum21"/>
    <w:basedOn w:val="Bezpopisa"/>
    <w:pPr>
      <w:numPr>
        <w:numId w:val="22"/>
      </w:numPr>
    </w:pPr>
  </w:style>
  <w:style w:type="numbering" w:customStyle="1" w:styleId="WWNum22">
    <w:name w:val="WWNum22"/>
    <w:basedOn w:val="Bezpopisa"/>
    <w:pPr>
      <w:numPr>
        <w:numId w:val="23"/>
      </w:numPr>
    </w:pPr>
  </w:style>
  <w:style w:type="numbering" w:customStyle="1" w:styleId="WWNum23">
    <w:name w:val="WWNum23"/>
    <w:basedOn w:val="Bezpopisa"/>
    <w:pPr>
      <w:numPr>
        <w:numId w:val="24"/>
      </w:numPr>
    </w:pPr>
  </w:style>
  <w:style w:type="numbering" w:customStyle="1" w:styleId="WWNum24">
    <w:name w:val="WWNum24"/>
    <w:basedOn w:val="Bezpopisa"/>
    <w:pPr>
      <w:numPr>
        <w:numId w:val="25"/>
      </w:numPr>
    </w:pPr>
  </w:style>
  <w:style w:type="numbering" w:customStyle="1" w:styleId="WWNum25">
    <w:name w:val="WWNum25"/>
    <w:basedOn w:val="Bezpopisa"/>
    <w:pPr>
      <w:numPr>
        <w:numId w:val="26"/>
      </w:numPr>
    </w:pPr>
  </w:style>
  <w:style w:type="numbering" w:customStyle="1" w:styleId="WWNum26">
    <w:name w:val="WWNum26"/>
    <w:basedOn w:val="Bezpopisa"/>
    <w:pPr>
      <w:numPr>
        <w:numId w:val="27"/>
      </w:numPr>
    </w:pPr>
  </w:style>
  <w:style w:type="numbering" w:customStyle="1" w:styleId="WWNum27">
    <w:name w:val="WWNum27"/>
    <w:basedOn w:val="Bezpopisa"/>
    <w:pPr>
      <w:numPr>
        <w:numId w:val="28"/>
      </w:numPr>
    </w:pPr>
  </w:style>
  <w:style w:type="numbering" w:customStyle="1" w:styleId="WWNum28">
    <w:name w:val="WWNum28"/>
    <w:basedOn w:val="Bezpopisa"/>
    <w:pPr>
      <w:numPr>
        <w:numId w:val="29"/>
      </w:numPr>
    </w:pPr>
  </w:style>
  <w:style w:type="numbering" w:customStyle="1" w:styleId="WWNum29">
    <w:name w:val="WWNum29"/>
    <w:basedOn w:val="Bezpopisa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Tekstbaloni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Odlomakpopisa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7">
    <w:name w:val="ListLabel 7"/>
    <w:rPr>
      <w:b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4">
    <w:name w:val="ListLabel 4"/>
    <w:rPr>
      <w:rFonts w:cs="Calibri"/>
    </w:rPr>
  </w:style>
  <w:style w:type="character" w:customStyle="1" w:styleId="ListLabel3">
    <w:name w:val="ListLabel 3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Calibri" w:cs="Tahoma"/>
    </w:rPr>
  </w:style>
  <w:style w:type="character" w:customStyle="1" w:styleId="TekstbaloniaChar">
    <w:name w:val="Tekst balončića Char"/>
    <w:basedOn w:val="Zadanifontodlomka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</w:style>
  <w:style w:type="character" w:customStyle="1" w:styleId="ZaglavljeChar">
    <w:name w:val="Zaglavlje Char"/>
    <w:basedOn w:val="Zadanifontodlomka"/>
  </w:style>
  <w:style w:type="numbering" w:customStyle="1" w:styleId="WWNum251">
    <w:name w:val="WWNum251"/>
    <w:basedOn w:val="Bezpopisa"/>
    <w:pPr>
      <w:numPr>
        <w:numId w:val="1"/>
      </w:numPr>
    </w:pPr>
  </w:style>
  <w:style w:type="numbering" w:customStyle="1" w:styleId="WWNum1">
    <w:name w:val="WWNum1"/>
    <w:basedOn w:val="Bezpopisa"/>
    <w:pPr>
      <w:numPr>
        <w:numId w:val="2"/>
      </w:numPr>
    </w:pPr>
  </w:style>
  <w:style w:type="numbering" w:customStyle="1" w:styleId="WWNum2">
    <w:name w:val="WWNum2"/>
    <w:basedOn w:val="Bezpopisa"/>
    <w:pPr>
      <w:numPr>
        <w:numId w:val="3"/>
      </w:numPr>
    </w:pPr>
  </w:style>
  <w:style w:type="numbering" w:customStyle="1" w:styleId="WWNum3">
    <w:name w:val="WWNum3"/>
    <w:basedOn w:val="Bezpopisa"/>
    <w:pPr>
      <w:numPr>
        <w:numId w:val="4"/>
      </w:numPr>
    </w:pPr>
  </w:style>
  <w:style w:type="numbering" w:customStyle="1" w:styleId="WWNum4">
    <w:name w:val="WWNum4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6">
    <w:name w:val="WWNum6"/>
    <w:basedOn w:val="Bezpopisa"/>
    <w:pPr>
      <w:numPr>
        <w:numId w:val="7"/>
      </w:numPr>
    </w:pPr>
  </w:style>
  <w:style w:type="numbering" w:customStyle="1" w:styleId="WWNum7">
    <w:name w:val="WWNum7"/>
    <w:basedOn w:val="Bezpopisa"/>
    <w:pPr>
      <w:numPr>
        <w:numId w:val="8"/>
      </w:numPr>
    </w:pPr>
  </w:style>
  <w:style w:type="numbering" w:customStyle="1" w:styleId="WWNum8">
    <w:name w:val="WWNum8"/>
    <w:basedOn w:val="Bezpopisa"/>
    <w:pPr>
      <w:numPr>
        <w:numId w:val="9"/>
      </w:numPr>
    </w:pPr>
  </w:style>
  <w:style w:type="numbering" w:customStyle="1" w:styleId="WWNum9">
    <w:name w:val="WWNum9"/>
    <w:basedOn w:val="Bezpopisa"/>
    <w:pPr>
      <w:numPr>
        <w:numId w:val="10"/>
      </w:numPr>
    </w:pPr>
  </w:style>
  <w:style w:type="numbering" w:customStyle="1" w:styleId="WWNum10">
    <w:name w:val="WWNum10"/>
    <w:basedOn w:val="Bezpopisa"/>
    <w:pPr>
      <w:numPr>
        <w:numId w:val="11"/>
      </w:numPr>
    </w:pPr>
  </w:style>
  <w:style w:type="numbering" w:customStyle="1" w:styleId="WWNum11">
    <w:name w:val="WWNum11"/>
    <w:basedOn w:val="Bezpopisa"/>
    <w:pPr>
      <w:numPr>
        <w:numId w:val="12"/>
      </w:numPr>
    </w:pPr>
  </w:style>
  <w:style w:type="numbering" w:customStyle="1" w:styleId="WWNum12">
    <w:name w:val="WWNum12"/>
    <w:basedOn w:val="Bezpopisa"/>
    <w:pPr>
      <w:numPr>
        <w:numId w:val="13"/>
      </w:numPr>
    </w:pPr>
  </w:style>
  <w:style w:type="numbering" w:customStyle="1" w:styleId="WWNum13">
    <w:name w:val="WWNum13"/>
    <w:basedOn w:val="Bezpopisa"/>
    <w:pPr>
      <w:numPr>
        <w:numId w:val="14"/>
      </w:numPr>
    </w:pPr>
  </w:style>
  <w:style w:type="numbering" w:customStyle="1" w:styleId="WWNum14">
    <w:name w:val="WWNum14"/>
    <w:basedOn w:val="Bezpopisa"/>
    <w:pPr>
      <w:numPr>
        <w:numId w:val="15"/>
      </w:numPr>
    </w:pPr>
  </w:style>
  <w:style w:type="numbering" w:customStyle="1" w:styleId="WWNum15">
    <w:name w:val="WWNum15"/>
    <w:basedOn w:val="Bezpopisa"/>
    <w:pPr>
      <w:numPr>
        <w:numId w:val="16"/>
      </w:numPr>
    </w:pPr>
  </w:style>
  <w:style w:type="numbering" w:customStyle="1" w:styleId="WWNum16">
    <w:name w:val="WWNum16"/>
    <w:basedOn w:val="Bezpopisa"/>
    <w:pPr>
      <w:numPr>
        <w:numId w:val="17"/>
      </w:numPr>
    </w:pPr>
  </w:style>
  <w:style w:type="numbering" w:customStyle="1" w:styleId="WWNum17">
    <w:name w:val="WWNum17"/>
    <w:basedOn w:val="Bezpopisa"/>
    <w:pPr>
      <w:numPr>
        <w:numId w:val="18"/>
      </w:numPr>
    </w:pPr>
  </w:style>
  <w:style w:type="numbering" w:customStyle="1" w:styleId="WWNum18">
    <w:name w:val="WWNum18"/>
    <w:basedOn w:val="Bezpopisa"/>
    <w:pPr>
      <w:numPr>
        <w:numId w:val="19"/>
      </w:numPr>
    </w:pPr>
  </w:style>
  <w:style w:type="numbering" w:customStyle="1" w:styleId="WWNum19">
    <w:name w:val="WWNum19"/>
    <w:basedOn w:val="Bezpopisa"/>
    <w:pPr>
      <w:numPr>
        <w:numId w:val="20"/>
      </w:numPr>
    </w:pPr>
  </w:style>
  <w:style w:type="numbering" w:customStyle="1" w:styleId="WWNum20">
    <w:name w:val="WWNum20"/>
    <w:basedOn w:val="Bezpopisa"/>
    <w:pPr>
      <w:numPr>
        <w:numId w:val="21"/>
      </w:numPr>
    </w:pPr>
  </w:style>
  <w:style w:type="numbering" w:customStyle="1" w:styleId="WWNum21">
    <w:name w:val="WWNum21"/>
    <w:basedOn w:val="Bezpopisa"/>
    <w:pPr>
      <w:numPr>
        <w:numId w:val="22"/>
      </w:numPr>
    </w:pPr>
  </w:style>
  <w:style w:type="numbering" w:customStyle="1" w:styleId="WWNum22">
    <w:name w:val="WWNum22"/>
    <w:basedOn w:val="Bezpopisa"/>
    <w:pPr>
      <w:numPr>
        <w:numId w:val="23"/>
      </w:numPr>
    </w:pPr>
  </w:style>
  <w:style w:type="numbering" w:customStyle="1" w:styleId="WWNum23">
    <w:name w:val="WWNum23"/>
    <w:basedOn w:val="Bezpopisa"/>
    <w:pPr>
      <w:numPr>
        <w:numId w:val="24"/>
      </w:numPr>
    </w:pPr>
  </w:style>
  <w:style w:type="numbering" w:customStyle="1" w:styleId="WWNum24">
    <w:name w:val="WWNum24"/>
    <w:basedOn w:val="Bezpopisa"/>
    <w:pPr>
      <w:numPr>
        <w:numId w:val="25"/>
      </w:numPr>
    </w:pPr>
  </w:style>
  <w:style w:type="numbering" w:customStyle="1" w:styleId="WWNum25">
    <w:name w:val="WWNum25"/>
    <w:basedOn w:val="Bezpopisa"/>
    <w:pPr>
      <w:numPr>
        <w:numId w:val="26"/>
      </w:numPr>
    </w:pPr>
  </w:style>
  <w:style w:type="numbering" w:customStyle="1" w:styleId="WWNum26">
    <w:name w:val="WWNum26"/>
    <w:basedOn w:val="Bezpopisa"/>
    <w:pPr>
      <w:numPr>
        <w:numId w:val="27"/>
      </w:numPr>
    </w:pPr>
  </w:style>
  <w:style w:type="numbering" w:customStyle="1" w:styleId="WWNum27">
    <w:name w:val="WWNum27"/>
    <w:basedOn w:val="Bezpopisa"/>
    <w:pPr>
      <w:numPr>
        <w:numId w:val="28"/>
      </w:numPr>
    </w:pPr>
  </w:style>
  <w:style w:type="numbering" w:customStyle="1" w:styleId="WWNum28">
    <w:name w:val="WWNum28"/>
    <w:basedOn w:val="Bezpopisa"/>
    <w:pPr>
      <w:numPr>
        <w:numId w:val="29"/>
      </w:numPr>
    </w:pPr>
  </w:style>
  <w:style w:type="numbering" w:customStyle="1" w:styleId="WWNum29">
    <w:name w:val="WWNum29"/>
    <w:basedOn w:val="Bezpopisa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Nadica</dc:creator>
  <cp:lastModifiedBy>Ljubica Makovec</cp:lastModifiedBy>
  <cp:revision>2</cp:revision>
  <cp:lastPrinted>2017-01-11T12:30:00Z</cp:lastPrinted>
  <dcterms:created xsi:type="dcterms:W3CDTF">2017-01-17T08:27:00Z</dcterms:created>
  <dcterms:modified xsi:type="dcterms:W3CDTF">2017-01-17T08:27:00Z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